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C709A6"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 w:rsidR="00C709A6">
        <w:rPr>
          <w:rStyle w:val="FontStyle56"/>
        </w:rPr>
        <w:t>Антоновка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№____ от ______202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C709A6">
        <w:rPr>
          <w:bCs/>
        </w:rPr>
        <w:t>сельского</w:t>
      </w:r>
      <w:r w:rsidRPr="001E6771">
        <w:rPr>
          <w:bCs/>
        </w:rPr>
        <w:t xml:space="preserve"> поселения </w:t>
      </w:r>
      <w:r w:rsidR="00C709A6">
        <w:rPr>
          <w:bCs/>
        </w:rPr>
        <w:t>Антоновка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C709A6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C709A6">
        <w:rPr>
          <w:rStyle w:val="FontStyle81"/>
          <w:sz w:val="28"/>
          <w:szCs w:val="28"/>
        </w:rPr>
        <w:t>Антоновка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Pr="008769D0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>2.2.2. При предоставлении муниципальной услуги Уполномоченный орган взаимодействует с</w:t>
      </w:r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 xml:space="preserve">уполномоченного на принятие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lastRenderedPageBreak/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8769D0">
        <w:rPr>
          <w:color w:val="auto"/>
          <w:sz w:val="28"/>
          <w:szCs w:val="28"/>
        </w:rPr>
        <w:lastRenderedPageBreak/>
        <w:t xml:space="preserve"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docx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odt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pdf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png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rar</w:t>
      </w:r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lastRenderedPageBreak/>
        <w:t xml:space="preserve">sig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 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 является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орган, МФЦ заявление о предоставлении муниципальной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 xml:space="preserve">1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регистрации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2 календарных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</w:t>
      </w:r>
      <w:r w:rsidRPr="008769D0">
        <w:rPr>
          <w:sz w:val="28"/>
          <w:szCs w:val="28"/>
        </w:rPr>
        <w:lastRenderedPageBreak/>
        <w:t xml:space="preserve">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8769D0">
        <w:rPr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lastRenderedPageBreak/>
        <w:t>Раздел 4. Формы контроля за исполнением административного регламента</w:t>
      </w:r>
      <w:bookmarkEnd w:id="21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3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8769D0">
        <w:rPr>
          <w:color w:val="auto"/>
          <w:sz w:val="28"/>
          <w:szCs w:val="28"/>
        </w:rPr>
        <w:lastRenderedPageBreak/>
        <w:t xml:space="preserve">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 xml:space="preserve"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и муниципальных услуг», а также их должностных лиц, муниципальных служащих, работников</w:t>
      </w:r>
      <w:bookmarkEnd w:id="26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6A6879" w:rsidRDefault="006A6879" w:rsidP="00B2062D"/>
    <w:p w:rsidR="006A6879" w:rsidRDefault="006A6879" w:rsidP="00B2062D"/>
    <w:p w:rsidR="00EF420C" w:rsidRDefault="00EF420C" w:rsidP="00B2062D"/>
    <w:bookmarkEnd w:id="28"/>
    <w:bookmarkEnd w:id="29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C709A6" w:rsidRPr="00C709A6">
        <w:rPr>
          <w:rStyle w:val="FontStyle81"/>
          <w:b w:val="0"/>
          <w:sz w:val="24"/>
          <w:szCs w:val="24"/>
        </w:rPr>
        <w:t>сельского поселения Антоновка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Heading1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Heading1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7"/>
        <w:gridCol w:w="3918"/>
        <w:gridCol w:w="4785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C709A6" w:rsidRPr="00C709A6">
        <w:rPr>
          <w:rStyle w:val="FontStyle81"/>
          <w:b w:val="0"/>
          <w:sz w:val="24"/>
          <w:szCs w:val="24"/>
        </w:rPr>
        <w:t xml:space="preserve">сельского поселения Антоновка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C709A6" w:rsidRPr="00C709A6">
        <w:rPr>
          <w:rStyle w:val="10"/>
          <w:b w:val="0"/>
          <w:szCs w:val="28"/>
        </w:rPr>
        <w:t xml:space="preserve">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="000764F1">
        <w:rPr>
          <w:spacing w:val="-4"/>
          <w:sz w:val="28"/>
          <w:szCs w:val="28"/>
        </w:rPr>
        <w:t>решением Собрания Представителей</w:t>
      </w:r>
      <w:r w:rsidR="000764F1" w:rsidRPr="00140600">
        <w:rPr>
          <w:spacing w:val="-4"/>
          <w:sz w:val="28"/>
          <w:szCs w:val="28"/>
        </w:rPr>
        <w:t xml:space="preserve"> </w:t>
      </w:r>
      <w:r w:rsidR="000764F1">
        <w:rPr>
          <w:spacing w:val="-4"/>
          <w:sz w:val="28"/>
          <w:szCs w:val="28"/>
        </w:rPr>
        <w:t xml:space="preserve">сельского поселения Антоновка № 28 от 27.12.2013 г. </w:t>
      </w:r>
      <w:r w:rsidRPr="00140600">
        <w:rPr>
          <w:spacing w:val="-4"/>
          <w:sz w:val="28"/>
          <w:szCs w:val="28"/>
        </w:rPr>
        <w:t xml:space="preserve">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 w:rsidRPr="00584469">
        <w:rPr>
          <w:rStyle w:val="FontStyle53"/>
          <w:sz w:val="28"/>
          <w:szCs w:val="28"/>
        </w:rPr>
        <w:t>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C709A6" w:rsidRPr="00C709A6">
        <w:rPr>
          <w:rStyle w:val="FontStyle81"/>
          <w:b w:val="0"/>
          <w:sz w:val="24"/>
          <w:szCs w:val="24"/>
        </w:rPr>
        <w:t xml:space="preserve">сельского поселения Антоновка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="00C709A6" w:rsidRPr="008769D0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Pr="00A43C38">
        <w:rPr>
          <w:rStyle w:val="FontStyle53"/>
          <w:sz w:val="28"/>
          <w:szCs w:val="28"/>
        </w:rPr>
        <w:t>____________</w:t>
      </w:r>
      <w:r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__________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C709A6">
        <w:rPr>
          <w:rStyle w:val="FontStyle81"/>
          <w:b w:val="0"/>
          <w:sz w:val="28"/>
          <w:szCs w:val="28"/>
        </w:rPr>
        <w:t>сельского</w:t>
      </w:r>
      <w:r w:rsidR="00C709A6"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C709A6">
        <w:rPr>
          <w:rStyle w:val="FontStyle81"/>
          <w:b w:val="0"/>
          <w:sz w:val="28"/>
          <w:szCs w:val="28"/>
        </w:rPr>
        <w:t>Антоновка</w:t>
      </w:r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C709A6" w:rsidRPr="00C709A6">
        <w:rPr>
          <w:rStyle w:val="FontStyle81"/>
          <w:b w:val="0"/>
          <w:sz w:val="24"/>
          <w:szCs w:val="24"/>
        </w:rPr>
        <w:t xml:space="preserve">сельского поселения Антоновка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C709A6" w:rsidRPr="00C709A6">
        <w:rPr>
          <w:rStyle w:val="FontStyle81"/>
          <w:b w:val="0"/>
          <w:sz w:val="24"/>
          <w:szCs w:val="24"/>
        </w:rPr>
        <w:t xml:space="preserve">сельского поселения Антоновка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следующее(ие)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C709A6" w:rsidRPr="00C709A6">
        <w:rPr>
          <w:rStyle w:val="FontStyle81"/>
          <w:b w:val="0"/>
          <w:sz w:val="24"/>
          <w:szCs w:val="24"/>
        </w:rPr>
        <w:t xml:space="preserve">сельского поселения Антоновка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2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82" w:rsidRDefault="00974582" w:rsidP="003E3346">
      <w:pPr>
        <w:spacing w:after="0" w:line="240" w:lineRule="auto"/>
      </w:pPr>
      <w:r>
        <w:separator/>
      </w:r>
    </w:p>
  </w:endnote>
  <w:endnote w:type="continuationSeparator" w:id="1">
    <w:p w:rsidR="00974582" w:rsidRDefault="00974582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82" w:rsidRDefault="00974582" w:rsidP="003E3346">
      <w:pPr>
        <w:spacing w:after="0" w:line="240" w:lineRule="auto"/>
      </w:pPr>
      <w:r>
        <w:separator/>
      </w:r>
    </w:p>
  </w:footnote>
  <w:footnote w:type="continuationSeparator" w:id="1">
    <w:p w:rsidR="00974582" w:rsidRDefault="00974582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D34C39" w:rsidRDefault="00BA19CB">
        <w:pPr>
          <w:pStyle w:val="a7"/>
          <w:jc w:val="center"/>
        </w:pPr>
        <w:fldSimple w:instr=" PAGE   \* MERGEFORMAT ">
          <w:r w:rsidR="000764F1">
            <w:rPr>
              <w:noProof/>
            </w:rPr>
            <w:t>39</w:t>
          </w:r>
        </w:fldSimple>
      </w:p>
    </w:sdtContent>
  </w:sdt>
  <w:p w:rsidR="00D34C39" w:rsidRDefault="00D34C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40"/>
  </w:num>
  <w:num w:numId="5">
    <w:abstractNumId w:val="15"/>
  </w:num>
  <w:num w:numId="6">
    <w:abstractNumId w:val="39"/>
  </w:num>
  <w:num w:numId="7">
    <w:abstractNumId w:val="35"/>
  </w:num>
  <w:num w:numId="8">
    <w:abstractNumId w:val="5"/>
  </w:num>
  <w:num w:numId="9">
    <w:abstractNumId w:val="26"/>
  </w:num>
  <w:num w:numId="10">
    <w:abstractNumId w:val="24"/>
  </w:num>
  <w:num w:numId="11">
    <w:abstractNumId w:val="28"/>
  </w:num>
  <w:num w:numId="12">
    <w:abstractNumId w:val="6"/>
  </w:num>
  <w:num w:numId="13">
    <w:abstractNumId w:val="48"/>
  </w:num>
  <w:num w:numId="14">
    <w:abstractNumId w:val="14"/>
  </w:num>
  <w:num w:numId="15">
    <w:abstractNumId w:val="4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7"/>
  </w:num>
  <w:num w:numId="20">
    <w:abstractNumId w:val="13"/>
  </w:num>
  <w:num w:numId="21">
    <w:abstractNumId w:val="19"/>
  </w:num>
  <w:num w:numId="22">
    <w:abstractNumId w:val="12"/>
  </w:num>
  <w:num w:numId="23">
    <w:abstractNumId w:val="20"/>
  </w:num>
  <w:num w:numId="24">
    <w:abstractNumId w:val="45"/>
  </w:num>
  <w:num w:numId="25">
    <w:abstractNumId w:val="3"/>
  </w:num>
  <w:num w:numId="26">
    <w:abstractNumId w:val="25"/>
  </w:num>
  <w:num w:numId="27">
    <w:abstractNumId w:val="23"/>
  </w:num>
  <w:num w:numId="28">
    <w:abstractNumId w:val="46"/>
  </w:num>
  <w:num w:numId="29">
    <w:abstractNumId w:val="11"/>
  </w:num>
  <w:num w:numId="30">
    <w:abstractNumId w:val="33"/>
  </w:num>
  <w:num w:numId="31">
    <w:abstractNumId w:val="4"/>
  </w:num>
  <w:num w:numId="32">
    <w:abstractNumId w:val="38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7"/>
  </w:num>
  <w:num w:numId="38">
    <w:abstractNumId w:val="34"/>
  </w:num>
  <w:num w:numId="39">
    <w:abstractNumId w:val="44"/>
  </w:num>
  <w:num w:numId="40">
    <w:abstractNumId w:val="43"/>
  </w:num>
  <w:num w:numId="41">
    <w:abstractNumId w:val="7"/>
  </w:num>
  <w:num w:numId="42">
    <w:abstractNumId w:val="16"/>
  </w:num>
  <w:num w:numId="43">
    <w:abstractNumId w:val="32"/>
  </w:num>
  <w:num w:numId="44">
    <w:abstractNumId w:val="36"/>
  </w:num>
  <w:num w:numId="45">
    <w:abstractNumId w:val="9"/>
  </w:num>
  <w:num w:numId="46">
    <w:abstractNumId w:val="17"/>
  </w:num>
  <w:num w:numId="47">
    <w:abstractNumId w:val="21"/>
  </w:num>
  <w:num w:numId="48">
    <w:abstractNumId w:val="30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389E"/>
    <w:rsid w:val="0001738E"/>
    <w:rsid w:val="000764F1"/>
    <w:rsid w:val="0009731E"/>
    <w:rsid w:val="000A7DE1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C4987"/>
    <w:rsid w:val="001C6981"/>
    <w:rsid w:val="001E6771"/>
    <w:rsid w:val="00264E5E"/>
    <w:rsid w:val="00283A3B"/>
    <w:rsid w:val="00290BBD"/>
    <w:rsid w:val="002D7FA0"/>
    <w:rsid w:val="002E63D5"/>
    <w:rsid w:val="002E77D8"/>
    <w:rsid w:val="002F4F74"/>
    <w:rsid w:val="0031057A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B100A"/>
    <w:rsid w:val="004B66FB"/>
    <w:rsid w:val="00517160"/>
    <w:rsid w:val="0052065E"/>
    <w:rsid w:val="005466C9"/>
    <w:rsid w:val="00547CAD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913ECC"/>
    <w:rsid w:val="009175D7"/>
    <w:rsid w:val="009214C2"/>
    <w:rsid w:val="00943B9B"/>
    <w:rsid w:val="00974582"/>
    <w:rsid w:val="009A30B0"/>
    <w:rsid w:val="009E0345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2062D"/>
    <w:rsid w:val="00B23D51"/>
    <w:rsid w:val="00B36547"/>
    <w:rsid w:val="00B476FA"/>
    <w:rsid w:val="00B5267E"/>
    <w:rsid w:val="00B75CEF"/>
    <w:rsid w:val="00BA19CB"/>
    <w:rsid w:val="00BB61B7"/>
    <w:rsid w:val="00BC1EAB"/>
    <w:rsid w:val="00BD1E9F"/>
    <w:rsid w:val="00BD4A60"/>
    <w:rsid w:val="00BE43BE"/>
    <w:rsid w:val="00BF0F80"/>
    <w:rsid w:val="00C12C6B"/>
    <w:rsid w:val="00C373E5"/>
    <w:rsid w:val="00C507FE"/>
    <w:rsid w:val="00C709A6"/>
    <w:rsid w:val="00C903FE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5191"/>
    <w:rsid w:val="00ED1B8D"/>
    <w:rsid w:val="00ED1C20"/>
    <w:rsid w:val="00EF420C"/>
    <w:rsid w:val="00EF6253"/>
    <w:rsid w:val="00F148B1"/>
    <w:rsid w:val="00F34906"/>
    <w:rsid w:val="00F3745C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818F-8D36-4C50-9911-FFBA782A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48</Pages>
  <Words>15044</Words>
  <Characters>85751</Characters>
  <Application>Microsoft Office Word</Application>
  <DocSecurity>0</DocSecurity>
  <Lines>714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2.2.2. При предоставлении муниципальной услуги Уполномоченный орган взаимодейств</vt:lpstr>
      <vt:lpstr>- Управлением Федеральной службы государственной регистрации, кадастра и картогр</vt:lpstr>
      <vt:lpstr>    3.1. Перечень вариантов предоставления муниципальной услуги</vt:lpstr>
      <vt:lpstr>    3.2. Описание административной процедуры </vt:lpstr>
      <vt:lpstr>    профилирования заявителя</vt:lpstr>
      <vt:lpstr>    3.3. Описание вариантов предоставления муниципальной услуги</vt:lpstr>
      <vt:lpstr/>
      <vt:lpstr>    Признаки, определяющие вариант предоставления муниципальной услуги </vt:lpstr>
      <vt:lpstr>    </vt:lpstr>
      <vt:lpstr>    ЗАЯВЛЕНИЕ</vt:lpstr>
      <vt:lpstr>    об исправлении допущенных опечаток и (или) ошибок в выданных в результате предос</vt:lpstr>
      <vt:lpstr>Приложение: (документ, подлежащий исправлению, документы, обосновывающие необход</vt:lpstr>
      <vt:lpstr>_______________           _______________________________________________</vt:lpstr>
      <vt:lpstr>(подпись)                         (фамилия, имя, (при наличии) отчеств</vt:lpstr>
      <vt:lpstr>доверенности, </vt:lpstr>
      <vt:lpstr/>
      <vt:lpstr/>
      <vt:lpstr/>
      <vt:lpstr/>
      <vt:lpstr/>
      <vt:lpstr/>
      <vt:lpstr>    </vt:lpstr>
      <vt:lpstr>    </vt:lpstr>
      <vt:lpstr>    ЗАЯВЛЕНИЕ </vt:lpstr>
      <vt:lpstr>    о выдаче дубликата результата предоставления муниципальной услуги</vt:lpstr>
      <vt:lpstr>    </vt:lpstr>
    </vt:vector>
  </TitlesOfParts>
  <Company/>
  <LinksUpToDate>false</LinksUpToDate>
  <CharactersWithSpaces>100594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7</cp:revision>
  <dcterms:created xsi:type="dcterms:W3CDTF">2022-05-18T12:40:00Z</dcterms:created>
  <dcterms:modified xsi:type="dcterms:W3CDTF">2024-08-13T09:50:00Z</dcterms:modified>
</cp:coreProperties>
</file>